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7A" w:rsidRPr="0053687A" w:rsidRDefault="0053687A" w:rsidP="00536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3687A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6E85456A" wp14:editId="09C4F609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828675" cy="829945"/>
            <wp:effectExtent l="0" t="0" r="9525" b="8255"/>
            <wp:wrapTight wrapText="bothSides">
              <wp:wrapPolygon edited="0">
                <wp:start x="3972" y="0"/>
                <wp:lineTo x="0" y="5454"/>
                <wp:lineTo x="0" y="16361"/>
                <wp:lineTo x="3972" y="21319"/>
                <wp:lineTo x="16883" y="21319"/>
                <wp:lineTo x="21352" y="16361"/>
                <wp:lineTo x="21352" y="5454"/>
                <wp:lineTo x="16883" y="0"/>
                <wp:lineTo x="39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– копі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           </w:t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КОМУНАЛЬНИЙ ЗАКЛАД  ЛЬВІВСЬКОЇ ОБЛАСНОЇ РАДИ</w:t>
      </w:r>
    </w:p>
    <w:p w:rsidR="0053687A" w:rsidRPr="0053687A" w:rsidRDefault="0053687A" w:rsidP="00536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5368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</w:t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                  </w:t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ЛЬВІВСЬКИЙ МЕДИЧНИЙ ФАХОВИЙ </w:t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</w:p>
    <w:p w:rsidR="0053687A" w:rsidRPr="0053687A" w:rsidRDefault="0053687A" w:rsidP="00536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3687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                             </w:t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КОЛЕДЖ ПІСЛЯДИПЛОМНОЇ </w:t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r w:rsidRPr="005368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ОСВІТИ</w:t>
      </w:r>
    </w:p>
    <w:p w:rsidR="0053687A" w:rsidRPr="0053687A" w:rsidRDefault="0053687A" w:rsidP="00536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3687A" w:rsidRPr="0053687A" w:rsidRDefault="0053687A" w:rsidP="00536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3687A" w:rsidRPr="0053687A" w:rsidRDefault="0053687A" w:rsidP="00536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3687A" w:rsidRPr="0053687A" w:rsidRDefault="0053687A" w:rsidP="00536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3687A" w:rsidRPr="0053687A" w:rsidRDefault="0053687A" w:rsidP="0053687A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3687A" w:rsidRPr="0053687A" w:rsidRDefault="0053687A" w:rsidP="0053687A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sectPr w:rsidR="0053687A" w:rsidRPr="0053687A" w:rsidSect="003B40B6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87CD5" w:rsidRPr="003A7086" w:rsidRDefault="00187CD5" w:rsidP="00187CD5">
      <w:pPr>
        <w:shd w:val="clear" w:color="auto" w:fill="FFFFFF"/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</w:t>
      </w:r>
    </w:p>
    <w:p w:rsidR="00187CD5" w:rsidRPr="003A7086" w:rsidRDefault="00187CD5" w:rsidP="00187CD5">
      <w:pPr>
        <w:shd w:val="clear" w:color="auto" w:fill="FFFFFF"/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подання та розгляду (з дотриманням конфіденційності) заяви про випадок </w:t>
      </w:r>
      <w:proofErr w:type="spellStart"/>
      <w:r w:rsidRPr="003A7086">
        <w:rPr>
          <w:rFonts w:ascii="Times New Roman" w:eastAsia="Times New Roman" w:hAnsi="Times New Roman" w:cs="Times New Roman"/>
          <w:b/>
          <w:bCs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(цькування) у Львівському медичному фаховому коледжі післядипломної освіти</w:t>
      </w:r>
    </w:p>
    <w:p w:rsidR="00187CD5" w:rsidRPr="003A7086" w:rsidRDefault="00187CD5" w:rsidP="00187CD5">
      <w:pPr>
        <w:shd w:val="clear" w:color="auto" w:fill="FFFFFF"/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/>
          <w:bCs/>
          <w:sz w:val="24"/>
          <w:szCs w:val="24"/>
        </w:rPr>
        <w:t>І. Загальні положення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 (цькуванню)».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Порядок розроблено з метою впровадження ефективного механізму запобігання проявам </w:t>
      </w:r>
      <w:proofErr w:type="spellStart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 (цькування) в освітньому середовищі комунального закладу Львівської обласної ради Львівський медичний фаховий коледж післядипломної освіти (далі – Коледжу).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3. Цей Порядок визначає процедуру подання та розгляду заяв про випадки </w:t>
      </w:r>
      <w:proofErr w:type="spellStart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 (цькуванню).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4. Заявниками можуть бути здобувачі освіти, їх батьки/законні представники, працівники та педагогічні працівники Коледжу та інші особи.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5. Заявник забезпечує достовірність та повноту наданої інформації.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6. У цьому Порядку терміни вживаються у таких значеннях:</w:t>
      </w:r>
    </w:p>
    <w:p w:rsidR="00187CD5" w:rsidRPr="003A7086" w:rsidRDefault="00187CD5" w:rsidP="00187CD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Булінг</w:t>
      </w:r>
      <w:proofErr w:type="spellEnd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 (цькування) 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щодо окремої особи або групи осіб. Йдеться про </w:t>
      </w:r>
      <w:r w:rsidRPr="003A7086">
        <w:rPr>
          <w:rFonts w:ascii="Times New Roman" w:hAnsi="Times New Roman" w:cs="Times New Roman"/>
          <w:sz w:val="24"/>
          <w:szCs w:val="24"/>
        </w:rPr>
        <w:t xml:space="preserve">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 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Типовими ознаками </w:t>
      </w:r>
      <w:proofErr w:type="spellStart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 (цькування) є:</w:t>
      </w:r>
    </w:p>
    <w:p w:rsidR="00187CD5" w:rsidRPr="003A7086" w:rsidRDefault="00187CD5" w:rsidP="00187CD5">
      <w:pPr>
        <w:pStyle w:val="a8"/>
        <w:numPr>
          <w:ilvl w:val="0"/>
          <w:numId w:val="25"/>
        </w:numPr>
        <w:shd w:val="clear" w:color="auto" w:fill="FFFFFF"/>
        <w:spacing w:before="240" w:after="36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систематичність (повторюваність) діяння;</w:t>
      </w:r>
    </w:p>
    <w:p w:rsidR="00187CD5" w:rsidRPr="003A7086" w:rsidRDefault="00187CD5" w:rsidP="00187CD5">
      <w:pPr>
        <w:pStyle w:val="a8"/>
        <w:numPr>
          <w:ilvl w:val="0"/>
          <w:numId w:val="25"/>
        </w:numPr>
        <w:shd w:val="clear" w:color="auto" w:fill="FFFFFF"/>
        <w:spacing w:before="240" w:after="36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наявність сторін – кривдник (</w:t>
      </w:r>
      <w:proofErr w:type="spellStart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булер</w:t>
      </w:r>
      <w:proofErr w:type="spellEnd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потерпілий (жертва </w:t>
      </w:r>
      <w:proofErr w:type="spellStart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t>), спостерігачі (за наявності);</w:t>
      </w:r>
    </w:p>
    <w:p w:rsidR="00187CD5" w:rsidRPr="003A7086" w:rsidRDefault="00187CD5" w:rsidP="00187CD5">
      <w:pPr>
        <w:pStyle w:val="a8"/>
        <w:numPr>
          <w:ilvl w:val="0"/>
          <w:numId w:val="25"/>
        </w:numPr>
        <w:shd w:val="clear" w:color="auto" w:fill="FFFFFF"/>
        <w:spacing w:before="240" w:after="36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потерпілого.</w:t>
      </w:r>
    </w:p>
    <w:p w:rsidR="00187CD5" w:rsidRPr="003A7086" w:rsidRDefault="00187CD5" w:rsidP="00187CD5">
      <w:pPr>
        <w:shd w:val="clear" w:color="auto" w:fill="FFFFFF"/>
        <w:spacing w:before="240"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/>
          <w:sz w:val="24"/>
          <w:szCs w:val="24"/>
        </w:rPr>
        <w:t xml:space="preserve">II. Порядок подання звернень щодо прояву </w:t>
      </w:r>
      <w:proofErr w:type="spellStart"/>
      <w:r w:rsidRPr="003A7086">
        <w:rPr>
          <w:rFonts w:ascii="Times New Roman" w:eastAsia="Times New Roman" w:hAnsi="Times New Roman" w:cs="Times New Roman"/>
          <w:b/>
          <w:sz w:val="24"/>
          <w:szCs w:val="24"/>
        </w:rPr>
        <w:t>булінгу</w:t>
      </w:r>
      <w:proofErr w:type="spellEnd"/>
    </w:p>
    <w:p w:rsidR="00187CD5" w:rsidRPr="003A7086" w:rsidRDefault="00187CD5" w:rsidP="00187CD5">
      <w:pPr>
        <w:shd w:val="clear" w:color="auto" w:fill="FFFFFF"/>
        <w:spacing w:before="24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1. Викладачі або інші учасники освітнього процесу (студенти, батьки), яким стало відомо про випадки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(цькування), свідками або учасниками вони стали,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зобов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язані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інформувати директора коледжу у письмовій формі незалежно від того, поскаржилась жертва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чи ні; або ж аналогічно після отримання звернення здобувача освіти.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2. Звернення про факти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3A7086">
        <w:rPr>
          <w:rFonts w:ascii="Times New Roman" w:eastAsia="Times New Roman" w:hAnsi="Times New Roman" w:cs="Times New Roman"/>
          <w:sz w:val="24"/>
          <w:szCs w:val="24"/>
        </w:rPr>
        <w:t>я директора Коледжу можуть подаватися у письмовій формі (заява) студентом, батьками, одним із батьків або особою/особами, які їх замінюють, будь-якими фізичними та юридичними особами.</w:t>
      </w:r>
    </w:p>
    <w:p w:rsidR="00187CD5" w:rsidRPr="003A7086" w:rsidRDefault="00187CD5" w:rsidP="00187CD5">
      <w:pPr>
        <w:shd w:val="clear" w:color="auto" w:fill="FFFFFF"/>
        <w:spacing w:before="24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 заяві потрібно вказати</w:t>
      </w:r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інформацію (постраждалий чи свідок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(цькування); підозра про вчинення по відношенню до інших осіб за зовнішніми ознаками; достовірна інформація від інших осіб) та час, як довго триває цькування – одноразовий конфлікт чи відповідні дії мають систематичний характер.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>4. Прийом та реєстрацію поданих заяв здійснює уповноважена особа, а в разі її відсутності – особисто директор або його заступник.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>5. Датою подання заяв є дата їх прийняття.</w:t>
      </w:r>
    </w:p>
    <w:p w:rsidR="00187CD5" w:rsidRPr="003A7086" w:rsidRDefault="00187CD5" w:rsidP="00187CD5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>6. Розгляд заяв здійснює директор Коледжу з дотриманням конфіденційності.</w:t>
      </w:r>
    </w:p>
    <w:p w:rsidR="00187CD5" w:rsidRPr="003A7086" w:rsidRDefault="00187CD5" w:rsidP="00187CD5">
      <w:pPr>
        <w:shd w:val="clear" w:color="auto" w:fill="FFFFFF"/>
        <w:spacing w:before="240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b/>
          <w:sz w:val="24"/>
          <w:szCs w:val="24"/>
        </w:rPr>
        <w:t>IІІ. Розгляд звернень (заяв) з приводу жорстокого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поводження із здобувачами освіти а</w:t>
      </w:r>
      <w:r w:rsidRPr="003A7086">
        <w:rPr>
          <w:rFonts w:ascii="Times New Roman" w:eastAsia="Times New Roman" w:hAnsi="Times New Roman" w:cs="Times New Roman"/>
          <w:b/>
          <w:sz w:val="24"/>
          <w:szCs w:val="24"/>
        </w:rPr>
        <w:t>бо загрози його вчинення</w:t>
      </w:r>
    </w:p>
    <w:p w:rsidR="00187CD5" w:rsidRPr="003A7086" w:rsidRDefault="00187CD5" w:rsidP="00187CD5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>1. Відповідно до отриманої заяви директор Коледжу видає рішення про проведення розслідування із визначенням уповноважених осіб.</w:t>
      </w:r>
    </w:p>
    <w:p w:rsidR="00187CD5" w:rsidRPr="003A7086" w:rsidRDefault="00187CD5" w:rsidP="00187CD5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2. Наказом директора Коледжу створюється Комісія з розгляду випадків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(цькування) за участі педагогічних працівників, психолога та соціального педагога, батьків потерпілого та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булера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>, керівника закладу, інших зацікавлених осіб.</w:t>
      </w:r>
    </w:p>
    <w:p w:rsidR="00187CD5" w:rsidRPr="003A7086" w:rsidRDefault="00187CD5" w:rsidP="00187CD5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>3. Комісія протягом однієї доби проводить розслідування, з’ясовує всі обставини цькування та приймає відповідне рішення.</w:t>
      </w:r>
    </w:p>
    <w:p w:rsidR="00187CD5" w:rsidRPr="003A7086" w:rsidRDefault="00187CD5" w:rsidP="00187CD5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4. За умови визнання Комісією результатів розслідування фактом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(цькування),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3A7086">
        <w:rPr>
          <w:rFonts w:ascii="Times New Roman" w:eastAsia="Times New Roman" w:hAnsi="Times New Roman" w:cs="Times New Roman"/>
          <w:sz w:val="24"/>
          <w:szCs w:val="24"/>
        </w:rPr>
        <w:t>Коледжу протягом однієї доби повідомляє уповноважені підрозділи органів Національної поліції України (ювенальну поліцію), Службу у справах дітей.</w:t>
      </w:r>
    </w:p>
    <w:p w:rsidR="00187CD5" w:rsidRPr="003A7086" w:rsidRDefault="00187CD5" w:rsidP="00187CD5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5. За рішенням Комісії з розгляду випадків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складається протокол з оригіналами підписів усіх її членів.</w:t>
      </w:r>
    </w:p>
    <w:p w:rsidR="00187CD5" w:rsidRPr="003A7086" w:rsidRDefault="00187CD5" w:rsidP="00187CD5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У разі не визнання Комісією факту </w:t>
      </w:r>
      <w:proofErr w:type="spellStart"/>
      <w:r w:rsidRPr="003A708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A7086">
        <w:rPr>
          <w:rFonts w:ascii="Times New Roman" w:eastAsia="Times New Roman" w:hAnsi="Times New Roman" w:cs="Times New Roman"/>
          <w:sz w:val="24"/>
          <w:szCs w:val="24"/>
        </w:rPr>
        <w:t xml:space="preserve"> (цькування) і незгоди з результатами рішення потерпілим (його представником), директор Коледжу рекомендує звернутись постраждалому (його представнику) із заявою до органів Національної поліції України.</w:t>
      </w:r>
    </w:p>
    <w:p w:rsidR="00187CD5" w:rsidRPr="003A7086" w:rsidRDefault="00187CD5" w:rsidP="00187CD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687A" w:rsidRPr="0053687A" w:rsidRDefault="0053687A" w:rsidP="0053687A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3687A" w:rsidRPr="0053687A" w:rsidRDefault="0053687A" w:rsidP="0053687A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sectPr w:rsidR="0053687A" w:rsidRPr="0053687A" w:rsidSect="003B40B6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  <w:bookmarkStart w:id="0" w:name="_GoBack"/>
      <w:bookmarkEnd w:id="0"/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tabs>
          <w:tab w:val="left" w:pos="9356"/>
          <w:tab w:val="left" w:pos="9639"/>
        </w:tabs>
        <w:spacing w:after="0" w:line="240" w:lineRule="atLeast"/>
        <w:ind w:left="567" w:right="-59" w:firstLine="567"/>
        <w:jc w:val="both"/>
        <w:rPr>
          <w:sz w:val="28"/>
          <w:szCs w:val="28"/>
        </w:rPr>
      </w:pPr>
    </w:p>
    <w:p w:rsidR="00ED3456" w:rsidRDefault="00ED3456" w:rsidP="00946A24">
      <w:pPr>
        <w:pStyle w:val="Default"/>
        <w:rPr>
          <w:sz w:val="28"/>
          <w:szCs w:val="28"/>
        </w:rPr>
      </w:pPr>
    </w:p>
    <w:p w:rsidR="001D4354" w:rsidRDefault="001D4354" w:rsidP="00946A24">
      <w:pPr>
        <w:pStyle w:val="Default"/>
        <w:rPr>
          <w:sz w:val="28"/>
          <w:szCs w:val="28"/>
        </w:rPr>
      </w:pPr>
    </w:p>
    <w:sectPr w:rsidR="001D4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A1" w:rsidRDefault="00291FA1" w:rsidP="00D255C1">
      <w:pPr>
        <w:spacing w:after="0" w:line="240" w:lineRule="auto"/>
      </w:pPr>
      <w:r>
        <w:separator/>
      </w:r>
    </w:p>
  </w:endnote>
  <w:endnote w:type="continuationSeparator" w:id="0">
    <w:p w:rsidR="00291FA1" w:rsidRDefault="00291FA1" w:rsidP="00D2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3B40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45714"/>
      <w:docPartObj>
        <w:docPartGallery w:val="Page Numbers (Bottom of Page)"/>
        <w:docPartUnique/>
      </w:docPartObj>
    </w:sdtPr>
    <w:sdtEndPr/>
    <w:sdtContent>
      <w:p w:rsidR="003B40B6" w:rsidRDefault="003B40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D5">
          <w:rPr>
            <w:noProof/>
          </w:rPr>
          <w:t>4</w:t>
        </w:r>
        <w:r>
          <w:fldChar w:fldCharType="end"/>
        </w:r>
      </w:p>
    </w:sdtContent>
  </w:sdt>
  <w:p w:rsidR="003B40B6" w:rsidRDefault="003B40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3B40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A1" w:rsidRDefault="00291FA1" w:rsidP="00D255C1">
      <w:pPr>
        <w:spacing w:after="0" w:line="240" w:lineRule="auto"/>
      </w:pPr>
      <w:r>
        <w:separator/>
      </w:r>
    </w:p>
  </w:footnote>
  <w:footnote w:type="continuationSeparator" w:id="0">
    <w:p w:rsidR="00291FA1" w:rsidRDefault="00291FA1" w:rsidP="00D2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291FA1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3022" o:spid="_x0000_s2053" type="#_x0000_t75" style="position:absolute;margin-left:0;margin-top:0;width:467.6pt;height:468.6pt;z-index:-251657216;mso-position-horizontal:center;mso-position-horizontal-relative:margin;mso-position-vertical:center;mso-position-vertical-relative:margin" o:allowincell="f">
          <v:imagedata r:id="rId1" o:title="Logo – копі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291FA1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3023" o:spid="_x0000_s2054" type="#_x0000_t75" style="position:absolute;margin-left:0;margin-top:0;width:467.6pt;height:468.6pt;z-index:-251656192;mso-position-horizontal:center;mso-position-horizontal-relative:margin;mso-position-vertical:center;mso-position-vertical-relative:margin" o:allowincell="f">
          <v:imagedata r:id="rId1" o:title="Logo – копія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291FA1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3021" o:spid="_x0000_s2052" type="#_x0000_t75" style="position:absolute;margin-left:0;margin-top:0;width:467.6pt;height:468.6pt;z-index:-251658240;mso-position-horizontal:center;mso-position-horizontal-relative:margin;mso-position-vertical:center;mso-position-vertical-relative:margin" o:allowincell="f">
          <v:imagedata r:id="rId1" o:title="Logo – копія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291FA1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3025" o:spid="_x0000_s2056" type="#_x0000_t75" style="position:absolute;margin-left:0;margin-top:0;width:467.6pt;height:468.6pt;z-index:-251654144;mso-position-horizontal:center;mso-position-horizontal-relative:margin;mso-position-vertical:center;mso-position-vertical-relative:margin" o:allowincell="f">
          <v:imagedata r:id="rId1" o:title="Logo – копія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291FA1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3026" o:spid="_x0000_s2057" type="#_x0000_t75" style="position:absolute;margin-left:0;margin-top:0;width:467.6pt;height:468.6pt;z-index:-251653120;mso-position-horizontal:center;mso-position-horizontal-relative:margin;mso-position-vertical:center;mso-position-vertical-relative:margin" o:allowincell="f">
          <v:imagedata r:id="rId1" o:title="Logo – копія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B6" w:rsidRDefault="00291FA1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3024" o:spid="_x0000_s2055" type="#_x0000_t75" style="position:absolute;margin-left:0;margin-top:0;width:467.6pt;height:468.6pt;z-index:-251655168;mso-position-horizontal:center;mso-position-horizontal-relative:margin;mso-position-vertical:center;mso-position-vertical-relative:margin" o:allowincell="f">
          <v:imagedata r:id="rId1" o:title="Logo – копія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E927A6"/>
    <w:multiLevelType w:val="multilevel"/>
    <w:tmpl w:val="8B025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67321FA"/>
    <w:multiLevelType w:val="multilevel"/>
    <w:tmpl w:val="535C6B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0926D8"/>
    <w:multiLevelType w:val="hybridMultilevel"/>
    <w:tmpl w:val="C92894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7696F4A"/>
    <w:multiLevelType w:val="hybridMultilevel"/>
    <w:tmpl w:val="56F69BA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371234"/>
    <w:multiLevelType w:val="hybridMultilevel"/>
    <w:tmpl w:val="25126B4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6B524A"/>
    <w:multiLevelType w:val="hybridMultilevel"/>
    <w:tmpl w:val="425AE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216"/>
    <w:multiLevelType w:val="hybridMultilevel"/>
    <w:tmpl w:val="50204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3A18"/>
    <w:multiLevelType w:val="multilevel"/>
    <w:tmpl w:val="B30ED5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B3A46"/>
    <w:multiLevelType w:val="hybridMultilevel"/>
    <w:tmpl w:val="A7E8DB5A"/>
    <w:lvl w:ilvl="0" w:tplc="1090A5E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C16266"/>
    <w:multiLevelType w:val="multilevel"/>
    <w:tmpl w:val="7A5A3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EFA398E"/>
    <w:multiLevelType w:val="hybridMultilevel"/>
    <w:tmpl w:val="525E381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957D90"/>
    <w:multiLevelType w:val="hybridMultilevel"/>
    <w:tmpl w:val="C6E8469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B700200">
      <w:numFmt w:val="bullet"/>
      <w:lvlText w:val="–"/>
      <w:lvlJc w:val="left"/>
      <w:pPr>
        <w:ind w:left="2727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556F8A"/>
    <w:multiLevelType w:val="hybridMultilevel"/>
    <w:tmpl w:val="81FC250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70F86"/>
    <w:multiLevelType w:val="hybridMultilevel"/>
    <w:tmpl w:val="1FDA53D8"/>
    <w:lvl w:ilvl="0" w:tplc="49A81D0C">
      <w:numFmt w:val="bullet"/>
      <w:lvlText w:val="–"/>
      <w:lvlJc w:val="left"/>
      <w:pPr>
        <w:ind w:left="1422" w:hanging="855"/>
      </w:pPr>
      <w:rPr>
        <w:rFonts w:ascii="Times New Roman" w:eastAsiaTheme="minorHAnsi" w:hAnsi="Times New Roman" w:cs="Times New Roman" w:hint="default"/>
      </w:rPr>
    </w:lvl>
    <w:lvl w:ilvl="1" w:tplc="F4761318">
      <w:numFmt w:val="bullet"/>
      <w:lvlText w:val="-"/>
      <w:lvlJc w:val="left"/>
      <w:pPr>
        <w:ind w:left="2112" w:hanging="82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11E305C"/>
    <w:multiLevelType w:val="hybridMultilevel"/>
    <w:tmpl w:val="CE4A8C3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DB7515"/>
    <w:multiLevelType w:val="hybridMultilevel"/>
    <w:tmpl w:val="FB5CB34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6101D"/>
    <w:multiLevelType w:val="hybridMultilevel"/>
    <w:tmpl w:val="A026460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2B0DF3"/>
    <w:multiLevelType w:val="hybridMultilevel"/>
    <w:tmpl w:val="8F1824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D646F9"/>
    <w:multiLevelType w:val="hybridMultilevel"/>
    <w:tmpl w:val="DE8E696E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400275"/>
    <w:multiLevelType w:val="hybridMultilevel"/>
    <w:tmpl w:val="EC7C143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E952C1"/>
    <w:multiLevelType w:val="multilevel"/>
    <w:tmpl w:val="17F42B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FA613FC"/>
    <w:multiLevelType w:val="hybridMultilevel"/>
    <w:tmpl w:val="C05AD69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22"/>
  </w:num>
  <w:num w:numId="7">
    <w:abstractNumId w:val="20"/>
  </w:num>
  <w:num w:numId="8">
    <w:abstractNumId w:val="24"/>
  </w:num>
  <w:num w:numId="9">
    <w:abstractNumId w:val="23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3"/>
  </w:num>
  <w:num w:numId="17">
    <w:abstractNumId w:val="5"/>
  </w:num>
  <w:num w:numId="18">
    <w:abstractNumId w:val="7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2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C1"/>
    <w:rsid w:val="00015F04"/>
    <w:rsid w:val="00063FBF"/>
    <w:rsid w:val="000919FB"/>
    <w:rsid w:val="00094169"/>
    <w:rsid w:val="0009769F"/>
    <w:rsid w:val="000A29D1"/>
    <w:rsid w:val="000B45F7"/>
    <w:rsid w:val="000E0331"/>
    <w:rsid w:val="001235DC"/>
    <w:rsid w:val="0014056C"/>
    <w:rsid w:val="00152DE7"/>
    <w:rsid w:val="001536C5"/>
    <w:rsid w:val="001600A6"/>
    <w:rsid w:val="0016581B"/>
    <w:rsid w:val="00175215"/>
    <w:rsid w:val="00187CD5"/>
    <w:rsid w:val="001D4354"/>
    <w:rsid w:val="001E6B31"/>
    <w:rsid w:val="001F0CB0"/>
    <w:rsid w:val="001F170F"/>
    <w:rsid w:val="00224FC0"/>
    <w:rsid w:val="00291FA1"/>
    <w:rsid w:val="002A6D9B"/>
    <w:rsid w:val="002B7816"/>
    <w:rsid w:val="002D1DE7"/>
    <w:rsid w:val="00317A74"/>
    <w:rsid w:val="00326E4A"/>
    <w:rsid w:val="00347396"/>
    <w:rsid w:val="003572B5"/>
    <w:rsid w:val="00362416"/>
    <w:rsid w:val="00382F8B"/>
    <w:rsid w:val="003A3717"/>
    <w:rsid w:val="003B00A0"/>
    <w:rsid w:val="003B40B6"/>
    <w:rsid w:val="003F0FF2"/>
    <w:rsid w:val="00404349"/>
    <w:rsid w:val="00414EDB"/>
    <w:rsid w:val="0041615F"/>
    <w:rsid w:val="00416CDE"/>
    <w:rsid w:val="00451E8E"/>
    <w:rsid w:val="004A7601"/>
    <w:rsid w:val="004B391F"/>
    <w:rsid w:val="004E0B7E"/>
    <w:rsid w:val="004E6267"/>
    <w:rsid w:val="00503937"/>
    <w:rsid w:val="00531476"/>
    <w:rsid w:val="0053687A"/>
    <w:rsid w:val="00544690"/>
    <w:rsid w:val="005645CF"/>
    <w:rsid w:val="00585930"/>
    <w:rsid w:val="005A27A5"/>
    <w:rsid w:val="005C4B46"/>
    <w:rsid w:val="006353CB"/>
    <w:rsid w:val="006838FC"/>
    <w:rsid w:val="006B1D02"/>
    <w:rsid w:val="006B566B"/>
    <w:rsid w:val="006B608E"/>
    <w:rsid w:val="006C524B"/>
    <w:rsid w:val="006D3D90"/>
    <w:rsid w:val="007414AA"/>
    <w:rsid w:val="00777A16"/>
    <w:rsid w:val="00781A63"/>
    <w:rsid w:val="007863B7"/>
    <w:rsid w:val="0079447B"/>
    <w:rsid w:val="007D79A7"/>
    <w:rsid w:val="007F469B"/>
    <w:rsid w:val="007F6C2B"/>
    <w:rsid w:val="00861F15"/>
    <w:rsid w:val="008779C3"/>
    <w:rsid w:val="00885A39"/>
    <w:rsid w:val="00890193"/>
    <w:rsid w:val="00892A0F"/>
    <w:rsid w:val="00896595"/>
    <w:rsid w:val="008D391F"/>
    <w:rsid w:val="008E3217"/>
    <w:rsid w:val="00910363"/>
    <w:rsid w:val="00911F21"/>
    <w:rsid w:val="00932D17"/>
    <w:rsid w:val="00933079"/>
    <w:rsid w:val="00946A24"/>
    <w:rsid w:val="00947C5D"/>
    <w:rsid w:val="0097570C"/>
    <w:rsid w:val="009A1228"/>
    <w:rsid w:val="009A75C3"/>
    <w:rsid w:val="00A12B1F"/>
    <w:rsid w:val="00A1309C"/>
    <w:rsid w:val="00A51987"/>
    <w:rsid w:val="00A755C2"/>
    <w:rsid w:val="00A90E4B"/>
    <w:rsid w:val="00A954A9"/>
    <w:rsid w:val="00AE7E5D"/>
    <w:rsid w:val="00B339BE"/>
    <w:rsid w:val="00B57598"/>
    <w:rsid w:val="00B6642D"/>
    <w:rsid w:val="00B82F39"/>
    <w:rsid w:val="00BA5342"/>
    <w:rsid w:val="00BE367A"/>
    <w:rsid w:val="00C17EE9"/>
    <w:rsid w:val="00C2143C"/>
    <w:rsid w:val="00C44B53"/>
    <w:rsid w:val="00C8334C"/>
    <w:rsid w:val="00C84B1D"/>
    <w:rsid w:val="00C879A8"/>
    <w:rsid w:val="00C972E0"/>
    <w:rsid w:val="00CB4EEE"/>
    <w:rsid w:val="00CF4988"/>
    <w:rsid w:val="00D075BF"/>
    <w:rsid w:val="00D10087"/>
    <w:rsid w:val="00D1134A"/>
    <w:rsid w:val="00D255C1"/>
    <w:rsid w:val="00D56A55"/>
    <w:rsid w:val="00D83A1A"/>
    <w:rsid w:val="00D84DB9"/>
    <w:rsid w:val="00DC1AA8"/>
    <w:rsid w:val="00DE1C2F"/>
    <w:rsid w:val="00DE4CF2"/>
    <w:rsid w:val="00E55099"/>
    <w:rsid w:val="00E56F80"/>
    <w:rsid w:val="00E97A78"/>
    <w:rsid w:val="00EA4A5F"/>
    <w:rsid w:val="00EB552C"/>
    <w:rsid w:val="00ED3456"/>
    <w:rsid w:val="00ED7128"/>
    <w:rsid w:val="00EE009F"/>
    <w:rsid w:val="00EF32F3"/>
    <w:rsid w:val="00F03D0A"/>
    <w:rsid w:val="00F30AF2"/>
    <w:rsid w:val="00F47FF3"/>
    <w:rsid w:val="00F55A47"/>
    <w:rsid w:val="00F73FFC"/>
    <w:rsid w:val="00F82EC8"/>
    <w:rsid w:val="00FA60D7"/>
    <w:rsid w:val="00F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9671488"/>
  <w15:docId w15:val="{A0297B53-FB49-4B0D-B55F-FA9C873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255C1"/>
  </w:style>
  <w:style w:type="paragraph" w:styleId="a5">
    <w:name w:val="footer"/>
    <w:basedOn w:val="a"/>
    <w:link w:val="a6"/>
    <w:uiPriority w:val="99"/>
    <w:unhideWhenUsed/>
    <w:rsid w:val="00D255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255C1"/>
  </w:style>
  <w:style w:type="table" w:styleId="a7">
    <w:name w:val="Table Grid"/>
    <w:basedOn w:val="a1"/>
    <w:uiPriority w:val="59"/>
    <w:rsid w:val="002A6D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82EC8"/>
    <w:pPr>
      <w:ind w:left="720"/>
      <w:contextualSpacing/>
    </w:pPr>
  </w:style>
  <w:style w:type="paragraph" w:styleId="a9">
    <w:name w:val="Balloon Text"/>
    <w:basedOn w:val="a"/>
    <w:link w:val="aa"/>
    <w:rsid w:val="00E56F80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a">
    <w:name w:val="Текст у виносці Знак"/>
    <w:basedOn w:val="a0"/>
    <w:link w:val="a9"/>
    <w:rsid w:val="00E56F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Strong"/>
    <w:basedOn w:val="a0"/>
    <w:uiPriority w:val="22"/>
    <w:qFormat/>
    <w:rsid w:val="007414AA"/>
    <w:rPr>
      <w:b/>
      <w:bCs/>
    </w:rPr>
  </w:style>
  <w:style w:type="character" w:customStyle="1" w:styleId="rvts23">
    <w:name w:val="rvts23"/>
    <w:basedOn w:val="a0"/>
    <w:rsid w:val="00CF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7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130-BCAB-4D60-8D35-C4314EC4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2748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Користувач Windows</cp:lastModifiedBy>
  <cp:revision>2</cp:revision>
  <dcterms:created xsi:type="dcterms:W3CDTF">2021-11-30T13:49:00Z</dcterms:created>
  <dcterms:modified xsi:type="dcterms:W3CDTF">2021-11-30T13:49:00Z</dcterms:modified>
</cp:coreProperties>
</file>